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F927" w14:textId="2EA18C72" w:rsidR="004773CD" w:rsidRDefault="004773CD" w:rsidP="003B25D2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 wp14:anchorId="54C599F9" wp14:editId="3BB0C3F1">
            <wp:extent cx="2276475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FD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D2A5" w14:textId="2E453647" w:rsidR="00163082" w:rsidRPr="00C33FCA" w:rsidRDefault="00163082" w:rsidP="00C33FCA">
      <w:pPr>
        <w:spacing w:after="0" w:line="240" w:lineRule="auto"/>
        <w:rPr>
          <w:sz w:val="24"/>
          <w:szCs w:val="24"/>
        </w:rPr>
      </w:pPr>
    </w:p>
    <w:p w14:paraId="678175C7" w14:textId="68A520E7" w:rsidR="00163082" w:rsidRPr="00C33FCA" w:rsidRDefault="00163082" w:rsidP="003B25D2">
      <w:pPr>
        <w:spacing w:after="0" w:line="240" w:lineRule="auto"/>
        <w:jc w:val="center"/>
        <w:rPr>
          <w:sz w:val="36"/>
          <w:szCs w:val="36"/>
        </w:rPr>
      </w:pPr>
      <w:r w:rsidRPr="00C33FCA">
        <w:rPr>
          <w:sz w:val="36"/>
          <w:szCs w:val="36"/>
        </w:rPr>
        <w:t>Call for Service Report</w:t>
      </w:r>
    </w:p>
    <w:p w14:paraId="51CDAFF3" w14:textId="7ECF4D28" w:rsidR="00163082" w:rsidRDefault="0021796E" w:rsidP="003B25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</w:t>
      </w:r>
      <w:r w:rsidR="00E74AD0">
        <w:rPr>
          <w:sz w:val="24"/>
          <w:szCs w:val="24"/>
        </w:rPr>
        <w:t>r</w:t>
      </w:r>
      <w:r w:rsidR="00163082" w:rsidRPr="00163082">
        <w:rPr>
          <w:sz w:val="24"/>
          <w:szCs w:val="24"/>
        </w:rPr>
        <w:t xml:space="preserve"> 20</w:t>
      </w:r>
      <w:r w:rsidR="00FC5641">
        <w:rPr>
          <w:sz w:val="24"/>
          <w:szCs w:val="24"/>
        </w:rPr>
        <w:t>20</w:t>
      </w:r>
    </w:p>
    <w:p w14:paraId="6C82392E" w14:textId="77777777" w:rsidR="00163082" w:rsidRPr="00163082" w:rsidRDefault="00163082" w:rsidP="003B25D2">
      <w:pPr>
        <w:spacing w:after="0" w:line="240" w:lineRule="auto"/>
        <w:jc w:val="center"/>
        <w:rPr>
          <w:sz w:val="24"/>
          <w:szCs w:val="24"/>
        </w:rPr>
      </w:pPr>
    </w:p>
    <w:p w14:paraId="504797E9" w14:textId="627F4E1F" w:rsidR="00163082" w:rsidRDefault="003B25D2" w:rsidP="003B25D2">
      <w:pPr>
        <w:spacing w:after="0" w:line="240" w:lineRule="auto"/>
        <w:jc w:val="center"/>
      </w:pPr>
      <w:r>
        <w:t xml:space="preserve">In </w:t>
      </w:r>
      <w:r w:rsidR="0021796E">
        <w:t>Decembe</w:t>
      </w:r>
      <w:r w:rsidR="001C0F64">
        <w:t>r</w:t>
      </w:r>
      <w:r>
        <w:t xml:space="preserve"> of 20</w:t>
      </w:r>
      <w:r w:rsidR="00FC5641">
        <w:t>20</w:t>
      </w:r>
      <w:r>
        <w:t xml:space="preserve">, Missoula Rural Fire District (MRFD) answered </w:t>
      </w:r>
      <w:r w:rsidR="007D6E76">
        <w:t>2</w:t>
      </w:r>
      <w:r w:rsidR="0021796E">
        <w:t>85</w:t>
      </w:r>
      <w:r>
        <w:t xml:space="preserve"> calls for service.  MRFD responded to </w:t>
      </w:r>
      <w:r w:rsidR="00AD7DAF">
        <w:t>2</w:t>
      </w:r>
      <w:r w:rsidR="0021796E">
        <w:t>72</w:t>
      </w:r>
      <w:r>
        <w:t xml:space="preserve"> of these incidents.  The other </w:t>
      </w:r>
      <w:r w:rsidR="006D3D92">
        <w:t>1</w:t>
      </w:r>
      <w:r w:rsidR="0021796E">
        <w:t>3</w:t>
      </w:r>
      <w:r w:rsidR="0095050C">
        <w:t xml:space="preserve"> </w:t>
      </w:r>
      <w:r>
        <w:t>incidents were responded to solely by mutual aid partners.  MRFD provided mutual aid on</w:t>
      </w:r>
      <w:r w:rsidR="00F31332">
        <w:t xml:space="preserve"> </w:t>
      </w:r>
      <w:r w:rsidR="0021796E">
        <w:t>91</w:t>
      </w:r>
      <w:r w:rsidR="00FC5641">
        <w:t xml:space="preserve"> </w:t>
      </w:r>
      <w:r>
        <w:t xml:space="preserve">incidents and received mutual aid on </w:t>
      </w:r>
      <w:r w:rsidR="001C0F64">
        <w:t>2</w:t>
      </w:r>
      <w:r w:rsidR="0021796E">
        <w:t>3</w:t>
      </w:r>
      <w:r>
        <w:t xml:space="preserve"> incidents, overall working side by side with </w:t>
      </w:r>
      <w:r w:rsidR="0021796E">
        <w:t>7</w:t>
      </w:r>
      <w:r>
        <w:t xml:space="preserve"> neighboring agencies.</w:t>
      </w:r>
    </w:p>
    <w:p w14:paraId="48E4F6F8" w14:textId="12E35DAA" w:rsidR="0021796E" w:rsidRDefault="0021796E" w:rsidP="003B25D2">
      <w:pPr>
        <w:spacing w:after="0" w:line="240" w:lineRule="auto"/>
        <w:jc w:val="center"/>
      </w:pPr>
    </w:p>
    <w:p w14:paraId="378D06DE" w14:textId="6EB7E226" w:rsidR="0021796E" w:rsidRDefault="0021796E" w:rsidP="0021796E">
      <w:pPr>
        <w:spacing w:after="0" w:line="240" w:lineRule="auto"/>
        <w:jc w:val="center"/>
      </w:pPr>
      <w:r>
        <w:t xml:space="preserve">In 2020, Missoula Rural Fire District (MRFD) answered </w:t>
      </w:r>
      <w:r>
        <w:t>2783</w:t>
      </w:r>
      <w:r>
        <w:t xml:space="preserve"> calls for service.  MRFD responded to </w:t>
      </w:r>
      <w:r>
        <w:t>2616</w:t>
      </w:r>
      <w:r>
        <w:t xml:space="preserve"> of these incidents.  The other </w:t>
      </w:r>
      <w:r>
        <w:t>167</w:t>
      </w:r>
      <w:r>
        <w:t xml:space="preserve"> incidents were responded to solely by mutual aid partners.  MRFD provided mutual aid on </w:t>
      </w:r>
      <w:r>
        <w:t>864</w:t>
      </w:r>
      <w:r>
        <w:t xml:space="preserve"> incidents and received mutual aid on </w:t>
      </w:r>
      <w:r>
        <w:t>325</w:t>
      </w:r>
      <w:r>
        <w:t xml:space="preserve"> incidents, overall working side by side with </w:t>
      </w:r>
      <w:r>
        <w:t>10</w:t>
      </w:r>
      <w:r>
        <w:t xml:space="preserve"> neighboring agencies.</w:t>
      </w:r>
    </w:p>
    <w:p w14:paraId="09893CBF" w14:textId="77777777" w:rsidR="003B25D2" w:rsidRPr="003B25D2" w:rsidRDefault="003B25D2" w:rsidP="003B25D2">
      <w:pPr>
        <w:spacing w:after="0" w:line="240" w:lineRule="auto"/>
        <w:jc w:val="center"/>
      </w:pPr>
    </w:p>
    <w:p w14:paraId="5C798DDC" w14:textId="7ECA0AAD" w:rsidR="00410B89" w:rsidRPr="008C76A1" w:rsidRDefault="00163082" w:rsidP="003B25D2">
      <w:pPr>
        <w:spacing w:after="0" w:line="240" w:lineRule="auto"/>
        <w:jc w:val="center"/>
        <w:rPr>
          <w:u w:val="single"/>
        </w:rPr>
      </w:pPr>
      <w:r w:rsidRPr="008C76A1">
        <w:rPr>
          <w:u w:val="single"/>
        </w:rPr>
        <w:t>Incident Type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1350"/>
        <w:gridCol w:w="1350"/>
        <w:gridCol w:w="1496"/>
      </w:tblGrid>
      <w:tr w:rsidR="00D4260A" w14:paraId="6AEB36AE" w14:textId="52FF419F" w:rsidTr="00163082">
        <w:trPr>
          <w:trHeight w:val="440"/>
          <w:jc w:val="center"/>
        </w:trPr>
        <w:tc>
          <w:tcPr>
            <w:tcW w:w="4860" w:type="dxa"/>
          </w:tcPr>
          <w:p w14:paraId="3A2B6530" w14:textId="6004E5D5" w:rsidR="00D4260A" w:rsidRPr="00D4260A" w:rsidRDefault="00D4260A" w:rsidP="003B25D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NFIRS Incident Type Series</w:t>
            </w:r>
          </w:p>
        </w:tc>
        <w:tc>
          <w:tcPr>
            <w:tcW w:w="1350" w:type="dxa"/>
          </w:tcPr>
          <w:p w14:paraId="2DD5BA2E" w14:textId="6C78FDD3" w:rsidR="00D4260A" w:rsidRPr="00D4260A" w:rsidRDefault="0021796E" w:rsidP="003B2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  <w:r w:rsidR="00BE5F20">
              <w:rPr>
                <w:b/>
                <w:bCs/>
              </w:rPr>
              <w:t xml:space="preserve"> </w:t>
            </w:r>
            <w:r w:rsidR="00D4260A" w:rsidRPr="00D4260A">
              <w:rPr>
                <w:b/>
                <w:bCs/>
              </w:rPr>
              <w:t>20</w:t>
            </w:r>
            <w:r w:rsidR="00FC5641">
              <w:rPr>
                <w:b/>
                <w:bCs/>
              </w:rPr>
              <w:t>20</w:t>
            </w:r>
          </w:p>
        </w:tc>
        <w:tc>
          <w:tcPr>
            <w:tcW w:w="1350" w:type="dxa"/>
          </w:tcPr>
          <w:p w14:paraId="7B544515" w14:textId="2137D738" w:rsidR="00D4260A" w:rsidRPr="00D4260A" w:rsidRDefault="00D4260A" w:rsidP="003B25D2">
            <w:pPr>
              <w:jc w:val="center"/>
              <w:rPr>
                <w:b/>
                <w:bCs/>
              </w:rPr>
            </w:pPr>
            <w:r w:rsidRPr="00D4260A">
              <w:rPr>
                <w:b/>
                <w:bCs/>
              </w:rPr>
              <w:t>20</w:t>
            </w:r>
            <w:r w:rsidR="00FC5641">
              <w:rPr>
                <w:b/>
                <w:bCs/>
              </w:rPr>
              <w:t>20</w:t>
            </w:r>
            <w:r w:rsidRPr="00D4260A">
              <w:rPr>
                <w:b/>
                <w:bCs/>
              </w:rPr>
              <w:t xml:space="preserve"> </w:t>
            </w:r>
            <w:r w:rsidR="0021796E">
              <w:rPr>
                <w:b/>
                <w:bCs/>
              </w:rPr>
              <w:t>Total</w:t>
            </w:r>
          </w:p>
        </w:tc>
        <w:tc>
          <w:tcPr>
            <w:tcW w:w="1496" w:type="dxa"/>
          </w:tcPr>
          <w:p w14:paraId="258565CD" w14:textId="6AEA2C2F" w:rsidR="00D4260A" w:rsidRPr="00D4260A" w:rsidRDefault="00D4260A" w:rsidP="003B25D2">
            <w:pPr>
              <w:jc w:val="center"/>
              <w:rPr>
                <w:b/>
                <w:bCs/>
              </w:rPr>
            </w:pPr>
            <w:r w:rsidRPr="00D4260A">
              <w:rPr>
                <w:b/>
                <w:bCs/>
              </w:rPr>
              <w:t>20</w:t>
            </w:r>
            <w:r w:rsidR="00FC5641">
              <w:rPr>
                <w:b/>
                <w:bCs/>
              </w:rPr>
              <w:t>20</w:t>
            </w:r>
            <w:r w:rsidRPr="00D4260A">
              <w:rPr>
                <w:b/>
                <w:bCs/>
              </w:rPr>
              <w:t xml:space="preserve"> YTD Percentage</w:t>
            </w:r>
          </w:p>
        </w:tc>
      </w:tr>
      <w:tr w:rsidR="00D4260A" w14:paraId="2EDCD0F3" w14:textId="1633BA37" w:rsidTr="00163082">
        <w:trPr>
          <w:trHeight w:val="255"/>
          <w:jc w:val="center"/>
        </w:trPr>
        <w:tc>
          <w:tcPr>
            <w:tcW w:w="4860" w:type="dxa"/>
          </w:tcPr>
          <w:p w14:paraId="5C9D9B62" w14:textId="225F2DC6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100 - Fire</w:t>
            </w:r>
          </w:p>
        </w:tc>
        <w:tc>
          <w:tcPr>
            <w:tcW w:w="1350" w:type="dxa"/>
          </w:tcPr>
          <w:p w14:paraId="255EE747" w14:textId="53215409" w:rsidR="00D4260A" w:rsidRPr="00D4260A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50" w:type="dxa"/>
          </w:tcPr>
          <w:p w14:paraId="44DB5F1E" w14:textId="39E92AD0" w:rsidR="00821EE1" w:rsidRPr="00D4260A" w:rsidRDefault="0021796E" w:rsidP="00821E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96" w:type="dxa"/>
          </w:tcPr>
          <w:p w14:paraId="597B8F5E" w14:textId="046EE5B4" w:rsidR="00D4260A" w:rsidRDefault="001368FA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  <w:r w:rsidR="0021796E">
              <w:rPr>
                <w:rFonts w:ascii="Calibri" w:hAnsi="Calibri"/>
                <w:color w:val="000000"/>
              </w:rPr>
              <w:t>45</w:t>
            </w:r>
            <w:r w:rsidR="0095050C">
              <w:rPr>
                <w:rFonts w:ascii="Calibri" w:hAnsi="Calibri"/>
                <w:color w:val="000000"/>
              </w:rPr>
              <w:t xml:space="preserve"> </w:t>
            </w:r>
            <w:r w:rsidR="00D4260A">
              <w:rPr>
                <w:rFonts w:ascii="Calibri" w:hAnsi="Calibri"/>
                <w:color w:val="000000"/>
              </w:rPr>
              <w:t>%</w:t>
            </w:r>
          </w:p>
        </w:tc>
      </w:tr>
      <w:tr w:rsidR="00D4260A" w14:paraId="12B399DE" w14:textId="761F051F" w:rsidTr="00163082">
        <w:trPr>
          <w:trHeight w:val="540"/>
          <w:jc w:val="center"/>
        </w:trPr>
        <w:tc>
          <w:tcPr>
            <w:tcW w:w="4860" w:type="dxa"/>
          </w:tcPr>
          <w:p w14:paraId="6848C5F4" w14:textId="7A7216AF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200 - Overpressure Rupture, Explosion, Overheat (No Fire)</w:t>
            </w:r>
          </w:p>
        </w:tc>
        <w:tc>
          <w:tcPr>
            <w:tcW w:w="1350" w:type="dxa"/>
          </w:tcPr>
          <w:p w14:paraId="3A1AF3B8" w14:textId="77B6AB09" w:rsidR="00D4260A" w:rsidRDefault="00082C8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  <w:p w14:paraId="4ADF0D03" w14:textId="77777777" w:rsidR="00D4260A" w:rsidRDefault="00D4260A" w:rsidP="003B25D2">
            <w:pPr>
              <w:jc w:val="center"/>
            </w:pPr>
          </w:p>
        </w:tc>
        <w:tc>
          <w:tcPr>
            <w:tcW w:w="1350" w:type="dxa"/>
          </w:tcPr>
          <w:p w14:paraId="4DB32360" w14:textId="7381DC62" w:rsidR="00D4260A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14:paraId="6A031117" w14:textId="77777777" w:rsidR="00D4260A" w:rsidRDefault="00D4260A" w:rsidP="003B25D2">
            <w:pPr>
              <w:jc w:val="center"/>
            </w:pPr>
          </w:p>
        </w:tc>
        <w:tc>
          <w:tcPr>
            <w:tcW w:w="1496" w:type="dxa"/>
          </w:tcPr>
          <w:p w14:paraId="0513F756" w14:textId="12E8EC50" w:rsidR="00D4260A" w:rsidRDefault="00D4260A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</w:t>
            </w:r>
            <w:r w:rsidR="00AD7DAF">
              <w:rPr>
                <w:rFonts w:ascii="Calibri" w:hAnsi="Calibri"/>
                <w:color w:val="000000"/>
              </w:rPr>
              <w:t>0</w:t>
            </w:r>
            <w:r w:rsidR="0021796E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%</w:t>
            </w:r>
          </w:p>
          <w:p w14:paraId="1F1477E4" w14:textId="77777777" w:rsidR="00D4260A" w:rsidRDefault="00D4260A" w:rsidP="003B25D2">
            <w:pPr>
              <w:jc w:val="center"/>
            </w:pPr>
          </w:p>
        </w:tc>
      </w:tr>
      <w:tr w:rsidR="00D4260A" w14:paraId="53CC2B66" w14:textId="416C4BB5" w:rsidTr="00163082">
        <w:trPr>
          <w:trHeight w:val="525"/>
          <w:jc w:val="center"/>
        </w:trPr>
        <w:tc>
          <w:tcPr>
            <w:tcW w:w="4860" w:type="dxa"/>
          </w:tcPr>
          <w:p w14:paraId="0F228C74" w14:textId="36F212EB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300 - Rescue and Emergency Medical Service (EMS) Incidents</w:t>
            </w:r>
          </w:p>
        </w:tc>
        <w:tc>
          <w:tcPr>
            <w:tcW w:w="1350" w:type="dxa"/>
          </w:tcPr>
          <w:p w14:paraId="3B72F776" w14:textId="01979C84" w:rsidR="00D4260A" w:rsidRPr="002D746C" w:rsidRDefault="006D3D92" w:rsidP="002D74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1796E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350" w:type="dxa"/>
          </w:tcPr>
          <w:p w14:paraId="448C41FC" w14:textId="25E57639" w:rsidR="00D4260A" w:rsidRDefault="0021796E" w:rsidP="0021796E">
            <w:pPr>
              <w:jc w:val="center"/>
            </w:pPr>
            <w:r>
              <w:t>1557</w:t>
            </w:r>
          </w:p>
        </w:tc>
        <w:tc>
          <w:tcPr>
            <w:tcW w:w="1496" w:type="dxa"/>
          </w:tcPr>
          <w:p w14:paraId="7B68A567" w14:textId="63396A76" w:rsidR="00D4260A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57.10</w:t>
            </w:r>
            <w:r w:rsidR="00D4260A">
              <w:rPr>
                <w:rFonts w:ascii="Calibri" w:hAnsi="Calibri"/>
                <w:color w:val="000000"/>
              </w:rPr>
              <w:t>%</w:t>
            </w:r>
          </w:p>
          <w:p w14:paraId="72A14301" w14:textId="77777777" w:rsidR="00D4260A" w:rsidRDefault="00D4260A" w:rsidP="003B25D2">
            <w:pPr>
              <w:jc w:val="center"/>
            </w:pPr>
          </w:p>
        </w:tc>
      </w:tr>
      <w:tr w:rsidR="00D4260A" w14:paraId="4DC58CB9" w14:textId="174482A0" w:rsidTr="00163082">
        <w:trPr>
          <w:trHeight w:val="269"/>
          <w:jc w:val="center"/>
        </w:trPr>
        <w:tc>
          <w:tcPr>
            <w:tcW w:w="4860" w:type="dxa"/>
          </w:tcPr>
          <w:p w14:paraId="5AA9D380" w14:textId="34F7FEEB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400 - Hazardous Condition (No Fire)</w:t>
            </w:r>
          </w:p>
        </w:tc>
        <w:tc>
          <w:tcPr>
            <w:tcW w:w="1350" w:type="dxa"/>
          </w:tcPr>
          <w:p w14:paraId="4023C179" w14:textId="11E2F37A" w:rsidR="00D4260A" w:rsidRPr="00163082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50" w:type="dxa"/>
          </w:tcPr>
          <w:p w14:paraId="36C20EFB" w14:textId="14587997" w:rsidR="00D4260A" w:rsidRPr="00163082" w:rsidRDefault="006D3D92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1796E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96" w:type="dxa"/>
          </w:tcPr>
          <w:p w14:paraId="3A5404F9" w14:textId="1ADED945" w:rsidR="00D4260A" w:rsidRPr="00163082" w:rsidRDefault="00AD7DAF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D3D92">
              <w:rPr>
                <w:rFonts w:ascii="Calibri" w:hAnsi="Calibri"/>
                <w:color w:val="000000"/>
              </w:rPr>
              <w:t>.</w:t>
            </w:r>
            <w:r w:rsidR="0021796E">
              <w:rPr>
                <w:rFonts w:ascii="Calibri" w:hAnsi="Calibri"/>
                <w:color w:val="000000"/>
              </w:rPr>
              <w:t>25</w:t>
            </w:r>
            <w:r w:rsidR="00D4260A">
              <w:rPr>
                <w:rFonts w:ascii="Calibri" w:hAnsi="Calibri"/>
                <w:color w:val="000000"/>
              </w:rPr>
              <w:t>%</w:t>
            </w:r>
          </w:p>
        </w:tc>
      </w:tr>
      <w:tr w:rsidR="00D4260A" w14:paraId="33967D1F" w14:textId="2F89E118" w:rsidTr="00163082">
        <w:trPr>
          <w:trHeight w:val="255"/>
          <w:jc w:val="center"/>
        </w:trPr>
        <w:tc>
          <w:tcPr>
            <w:tcW w:w="4860" w:type="dxa"/>
          </w:tcPr>
          <w:p w14:paraId="2EB4715F" w14:textId="701ACA95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500 - Service Call</w:t>
            </w:r>
          </w:p>
        </w:tc>
        <w:tc>
          <w:tcPr>
            <w:tcW w:w="1350" w:type="dxa"/>
          </w:tcPr>
          <w:p w14:paraId="5B6E0D05" w14:textId="56966F48" w:rsidR="007D6E76" w:rsidRPr="00D4260A" w:rsidRDefault="0021796E" w:rsidP="007D6E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350" w:type="dxa"/>
          </w:tcPr>
          <w:p w14:paraId="27F66BE8" w14:textId="10D1042D" w:rsidR="00D4260A" w:rsidRPr="00D4260A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1496" w:type="dxa"/>
          </w:tcPr>
          <w:p w14:paraId="578D2212" w14:textId="209698E6" w:rsidR="00D4260A" w:rsidRPr="00D4260A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12.17</w:t>
            </w:r>
            <w:r w:rsidR="00D4260A">
              <w:rPr>
                <w:rFonts w:ascii="Calibri" w:hAnsi="Calibri"/>
                <w:color w:val="000000"/>
              </w:rPr>
              <w:t>%</w:t>
            </w:r>
          </w:p>
        </w:tc>
      </w:tr>
      <w:tr w:rsidR="00D4260A" w14:paraId="65E7EE01" w14:textId="6E4B7CE5" w:rsidTr="00163082">
        <w:trPr>
          <w:trHeight w:val="269"/>
          <w:jc w:val="center"/>
        </w:trPr>
        <w:tc>
          <w:tcPr>
            <w:tcW w:w="4860" w:type="dxa"/>
          </w:tcPr>
          <w:p w14:paraId="2F4ADFEF" w14:textId="4287CCC8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600 - Good Intent Call</w:t>
            </w:r>
          </w:p>
        </w:tc>
        <w:tc>
          <w:tcPr>
            <w:tcW w:w="1350" w:type="dxa"/>
          </w:tcPr>
          <w:p w14:paraId="667DAD36" w14:textId="4C7EE2E9" w:rsidR="00D4260A" w:rsidRPr="00D4260A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50" w:type="dxa"/>
          </w:tcPr>
          <w:p w14:paraId="7E6AE534" w14:textId="33AAD075" w:rsidR="00D4260A" w:rsidRPr="00D4260A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</w:t>
            </w:r>
          </w:p>
        </w:tc>
        <w:tc>
          <w:tcPr>
            <w:tcW w:w="1496" w:type="dxa"/>
          </w:tcPr>
          <w:p w14:paraId="61033D06" w14:textId="6111E5DB" w:rsidR="00D4260A" w:rsidRPr="00D4260A" w:rsidRDefault="00082C8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BE5F20">
              <w:rPr>
                <w:rFonts w:ascii="Calibri" w:hAnsi="Calibri"/>
                <w:color w:val="000000"/>
              </w:rPr>
              <w:t>8</w:t>
            </w:r>
            <w:r w:rsidR="002D746C">
              <w:rPr>
                <w:rFonts w:ascii="Calibri" w:hAnsi="Calibri"/>
                <w:color w:val="000000"/>
              </w:rPr>
              <w:t>.</w:t>
            </w:r>
            <w:r w:rsidR="0021796E">
              <w:rPr>
                <w:rFonts w:ascii="Calibri" w:hAnsi="Calibri"/>
                <w:color w:val="000000"/>
              </w:rPr>
              <w:t>37</w:t>
            </w:r>
            <w:r w:rsidR="00D4260A">
              <w:rPr>
                <w:rFonts w:ascii="Calibri" w:hAnsi="Calibri"/>
                <w:color w:val="000000"/>
              </w:rPr>
              <w:t>%</w:t>
            </w:r>
          </w:p>
        </w:tc>
      </w:tr>
      <w:tr w:rsidR="00D4260A" w14:paraId="1D54ED20" w14:textId="6FF308DE" w:rsidTr="00163082">
        <w:trPr>
          <w:trHeight w:val="255"/>
          <w:jc w:val="center"/>
        </w:trPr>
        <w:tc>
          <w:tcPr>
            <w:tcW w:w="4860" w:type="dxa"/>
          </w:tcPr>
          <w:p w14:paraId="0DA28EC8" w14:textId="4690F806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700 - False Alarm and False Call</w:t>
            </w:r>
          </w:p>
        </w:tc>
        <w:tc>
          <w:tcPr>
            <w:tcW w:w="1350" w:type="dxa"/>
          </w:tcPr>
          <w:p w14:paraId="304C5025" w14:textId="5197882A" w:rsidR="00D4260A" w:rsidRPr="00163082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50" w:type="dxa"/>
          </w:tcPr>
          <w:p w14:paraId="7AAB6BD6" w14:textId="7B2BD562" w:rsidR="00D4260A" w:rsidRPr="00163082" w:rsidRDefault="006D3D92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1796E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96" w:type="dxa"/>
          </w:tcPr>
          <w:p w14:paraId="59A811F3" w14:textId="1F82F746" w:rsidR="00D4260A" w:rsidRPr="00163082" w:rsidRDefault="003B2066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  <w:r w:rsidR="0021796E">
              <w:rPr>
                <w:rFonts w:ascii="Calibri" w:hAnsi="Calibri"/>
                <w:color w:val="000000"/>
              </w:rPr>
              <w:t>55</w:t>
            </w:r>
            <w:r w:rsidR="00D4260A">
              <w:rPr>
                <w:rFonts w:ascii="Calibri" w:hAnsi="Calibri"/>
                <w:color w:val="000000"/>
              </w:rPr>
              <w:t>%</w:t>
            </w:r>
          </w:p>
        </w:tc>
      </w:tr>
      <w:tr w:rsidR="00D4260A" w14:paraId="34D37A73" w14:textId="0929F312" w:rsidTr="00163082">
        <w:trPr>
          <w:trHeight w:val="269"/>
          <w:jc w:val="center"/>
        </w:trPr>
        <w:tc>
          <w:tcPr>
            <w:tcW w:w="4860" w:type="dxa"/>
          </w:tcPr>
          <w:p w14:paraId="5E19AC2E" w14:textId="5616DFB5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800 - Severe Weather and Natural Disaster</w:t>
            </w:r>
          </w:p>
        </w:tc>
        <w:tc>
          <w:tcPr>
            <w:tcW w:w="1350" w:type="dxa"/>
          </w:tcPr>
          <w:p w14:paraId="19EF4C76" w14:textId="0A65D226" w:rsidR="00D4260A" w:rsidRDefault="00BE5F20" w:rsidP="003B25D2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0C5505FD" w14:textId="7B3FAEBA" w:rsidR="00D4260A" w:rsidRPr="00163082" w:rsidRDefault="006D3D92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96" w:type="dxa"/>
          </w:tcPr>
          <w:p w14:paraId="295E9D48" w14:textId="5D215283" w:rsidR="00D4260A" w:rsidRPr="00163082" w:rsidRDefault="00D4260A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</w:t>
            </w:r>
            <w:r w:rsidR="00200900">
              <w:rPr>
                <w:rFonts w:ascii="Calibri" w:hAnsi="Calibri"/>
                <w:color w:val="000000"/>
              </w:rPr>
              <w:t>0</w:t>
            </w:r>
            <w:r w:rsidR="00BE5F20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</w:tr>
      <w:tr w:rsidR="00D4260A" w14:paraId="4362B4EE" w14:textId="31E3F219" w:rsidTr="00163082">
        <w:trPr>
          <w:trHeight w:val="255"/>
          <w:jc w:val="center"/>
        </w:trPr>
        <w:tc>
          <w:tcPr>
            <w:tcW w:w="4860" w:type="dxa"/>
          </w:tcPr>
          <w:p w14:paraId="300D68D1" w14:textId="61A37045" w:rsidR="00D4260A" w:rsidRPr="00D4260A" w:rsidRDefault="00D4260A" w:rsidP="003B25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900 - Special Incident Type</w:t>
            </w:r>
          </w:p>
        </w:tc>
        <w:tc>
          <w:tcPr>
            <w:tcW w:w="1350" w:type="dxa"/>
          </w:tcPr>
          <w:p w14:paraId="0D7AE801" w14:textId="32183068" w:rsidR="00D4260A" w:rsidRDefault="0021796E" w:rsidP="003B25D2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3F232C2E" w14:textId="0E860DA6" w:rsidR="00D4260A" w:rsidRPr="00163082" w:rsidRDefault="0021796E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96" w:type="dxa"/>
          </w:tcPr>
          <w:p w14:paraId="10CB7FA1" w14:textId="1C32A636" w:rsidR="00D4260A" w:rsidRPr="00163082" w:rsidRDefault="00D4260A" w:rsidP="003B25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  <w:r w:rsidR="0021796E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</w:tr>
    </w:tbl>
    <w:p w14:paraId="471AF535" w14:textId="77777777" w:rsidR="003B25D2" w:rsidRDefault="003B25D2" w:rsidP="003B25D2">
      <w:pPr>
        <w:spacing w:after="0" w:line="240" w:lineRule="auto"/>
      </w:pPr>
    </w:p>
    <w:p w14:paraId="5D4A696A" w14:textId="4E8A580B" w:rsidR="00D4260A" w:rsidRDefault="00163082" w:rsidP="003B25D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FB35205" wp14:editId="544DD620">
            <wp:extent cx="5095875" cy="29527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4260A" w:rsidSect="003B2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89"/>
    <w:rsid w:val="0008041C"/>
    <w:rsid w:val="00082C8E"/>
    <w:rsid w:val="000B73B5"/>
    <w:rsid w:val="001368FA"/>
    <w:rsid w:val="00163082"/>
    <w:rsid w:val="001C0F64"/>
    <w:rsid w:val="00200900"/>
    <w:rsid w:val="0021796E"/>
    <w:rsid w:val="002D746C"/>
    <w:rsid w:val="003B2066"/>
    <w:rsid w:val="003B25D2"/>
    <w:rsid w:val="00410B89"/>
    <w:rsid w:val="0041649F"/>
    <w:rsid w:val="004773CD"/>
    <w:rsid w:val="00596AF4"/>
    <w:rsid w:val="006916F4"/>
    <w:rsid w:val="006D3D92"/>
    <w:rsid w:val="00794466"/>
    <w:rsid w:val="007D6E76"/>
    <w:rsid w:val="00821EE1"/>
    <w:rsid w:val="008A5370"/>
    <w:rsid w:val="008C76A1"/>
    <w:rsid w:val="0095050C"/>
    <w:rsid w:val="00A47431"/>
    <w:rsid w:val="00A50710"/>
    <w:rsid w:val="00AD7DAF"/>
    <w:rsid w:val="00BD23F4"/>
    <w:rsid w:val="00BE5F20"/>
    <w:rsid w:val="00C33FCA"/>
    <w:rsid w:val="00CC373E"/>
    <w:rsid w:val="00D12F09"/>
    <w:rsid w:val="00D36138"/>
    <w:rsid w:val="00D4260A"/>
    <w:rsid w:val="00E304F3"/>
    <w:rsid w:val="00E74AD0"/>
    <w:rsid w:val="00E95D29"/>
    <w:rsid w:val="00E963B4"/>
    <w:rsid w:val="00EA46BB"/>
    <w:rsid w:val="00F31332"/>
    <w:rsid w:val="00FB0380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01FD"/>
  <w15:chartTrackingRefBased/>
  <w15:docId w15:val="{8CC1BEEB-CEF9-4FE7-8EA4-AFCF7855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December 2020 Incident Types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2">
                  <a:lumMod val="90000"/>
                </a:schemeClr>
              </a:solidFill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100 - Fire</c:v>
                </c:pt>
                <c:pt idx="1">
                  <c:v>200 - Overpressure Rupture, Explosion, Overheat (No Fire)</c:v>
                </c:pt>
                <c:pt idx="2">
                  <c:v>300 - Rescue and Emergency Medical Service (EMS) Incidents</c:v>
                </c:pt>
                <c:pt idx="3">
                  <c:v>400 - Hazardous Condition (No Fire)</c:v>
                </c:pt>
                <c:pt idx="4">
                  <c:v>500 - Service Call</c:v>
                </c:pt>
                <c:pt idx="5">
                  <c:v>600 - Good Intent Call</c:v>
                </c:pt>
                <c:pt idx="6">
                  <c:v>700 - False Alarm and False Call</c:v>
                </c:pt>
                <c:pt idx="7">
                  <c:v>800 - Severe Weather and Natural Disaster</c:v>
                </c:pt>
                <c:pt idx="8">
                  <c:v>900 - Special Incident Type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152</c:v>
                </c:pt>
                <c:pt idx="3">
                  <c:v>3</c:v>
                </c:pt>
                <c:pt idx="4">
                  <c:v>44</c:v>
                </c:pt>
                <c:pt idx="5">
                  <c:v>38</c:v>
                </c:pt>
                <c:pt idx="6">
                  <c:v>15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1F-4EBD-BEF1-DAE05FA48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9754128"/>
        <c:axId val="379754456"/>
      </c:barChart>
      <c:catAx>
        <c:axId val="37975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754456"/>
        <c:crosses val="autoZero"/>
        <c:auto val="1"/>
        <c:lblAlgn val="ctr"/>
        <c:lblOffset val="100"/>
        <c:noMultiLvlLbl val="0"/>
      </c:catAx>
      <c:valAx>
        <c:axId val="37975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975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Riley</dc:creator>
  <cp:keywords/>
  <dc:description/>
  <cp:lastModifiedBy>Cole Riley</cp:lastModifiedBy>
  <cp:revision>2</cp:revision>
  <cp:lastPrinted>2019-08-06T17:26:00Z</cp:lastPrinted>
  <dcterms:created xsi:type="dcterms:W3CDTF">2021-01-08T03:24:00Z</dcterms:created>
  <dcterms:modified xsi:type="dcterms:W3CDTF">2021-01-08T03:24:00Z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797019881</vt:i4>
  </property>
</Properties>
</file>